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CC" w:rsidRDefault="006821CC"/>
    <w:p w:rsidR="006821CC" w:rsidRDefault="006821CC" w:rsidP="006821CC">
      <w:pPr>
        <w:jc w:val="center"/>
        <w:rPr>
          <w:b/>
          <w:bCs/>
          <w:u w:val="single"/>
        </w:rPr>
      </w:pPr>
      <w:r>
        <w:rPr>
          <w:b/>
          <w:bCs/>
          <w:u w:val="single"/>
        </w:rPr>
        <w:t>THIS IS A RAPIDLY EVOLVING AND FLUID SITUATION.  INFORMATION AND ACTION ARE SUBJECT TO CHANGE AT ANY TIME.  BE PREPARED TO BE FLEXIBLE AND PATIENT</w:t>
      </w:r>
    </w:p>
    <w:p w:rsidR="006821CC" w:rsidRDefault="006821CC" w:rsidP="00CA5E40">
      <w:pPr>
        <w:rPr>
          <w:b/>
          <w:bCs/>
          <w:u w:val="single"/>
        </w:rPr>
      </w:pPr>
    </w:p>
    <w:p w:rsidR="006821CC" w:rsidRDefault="006821CC" w:rsidP="006821CC">
      <w:pPr>
        <w:jc w:val="center"/>
        <w:rPr>
          <w:b/>
          <w:bCs/>
          <w:color w:val="FF0000"/>
          <w:u w:val="single"/>
        </w:rPr>
      </w:pPr>
      <w:r>
        <w:rPr>
          <w:b/>
          <w:bCs/>
          <w:color w:val="FF0000"/>
          <w:u w:val="single"/>
        </w:rPr>
        <w:t>PLEASE DISTRIBUTE THIS WIDELY</w:t>
      </w:r>
    </w:p>
    <w:p w:rsidR="006821CC" w:rsidRDefault="006821CC" w:rsidP="006821CC">
      <w:pPr>
        <w:jc w:val="center"/>
        <w:rPr>
          <w:b/>
          <w:bCs/>
          <w:u w:val="single"/>
        </w:rPr>
      </w:pPr>
    </w:p>
    <w:p w:rsidR="006821CC" w:rsidRDefault="006821CC" w:rsidP="006821CC">
      <w:pPr>
        <w:jc w:val="center"/>
        <w:rPr>
          <w:b/>
          <w:bCs/>
          <w:u w:val="single"/>
        </w:rPr>
      </w:pPr>
      <w:r>
        <w:rPr>
          <w:b/>
          <w:bCs/>
          <w:u w:val="single"/>
        </w:rPr>
        <w:t>3/30/2020 Baca County:  2 more</w:t>
      </w:r>
      <w:r>
        <w:rPr>
          <w:b/>
          <w:bCs/>
          <w:u w:val="single"/>
        </w:rPr>
        <w:t xml:space="preserve"> POSITIVE COVID-19 Case</w:t>
      </w:r>
      <w:r w:rsidR="00471991">
        <w:rPr>
          <w:b/>
          <w:bCs/>
          <w:u w:val="single"/>
        </w:rPr>
        <w:t>s i</w:t>
      </w:r>
      <w:r>
        <w:rPr>
          <w:b/>
          <w:bCs/>
          <w:u w:val="single"/>
        </w:rPr>
        <w:t>n Baca</w:t>
      </w:r>
      <w:r>
        <w:rPr>
          <w:b/>
          <w:bCs/>
          <w:u w:val="single"/>
        </w:rPr>
        <w:t xml:space="preserve"> County</w:t>
      </w:r>
    </w:p>
    <w:p w:rsidR="006821CC" w:rsidRDefault="006821CC" w:rsidP="006821CC">
      <w:pPr>
        <w:jc w:val="center"/>
        <w:rPr>
          <w:b/>
          <w:bCs/>
          <w:u w:val="single"/>
        </w:rPr>
      </w:pPr>
    </w:p>
    <w:p w:rsidR="006821CC" w:rsidRDefault="006821CC" w:rsidP="006821CC">
      <w:pPr>
        <w:jc w:val="center"/>
        <w:rPr>
          <w:b/>
          <w:bCs/>
          <w:u w:val="single"/>
        </w:rPr>
      </w:pPr>
      <w:r>
        <w:rPr>
          <w:b/>
          <w:bCs/>
          <w:u w:val="single"/>
        </w:rPr>
        <w:t xml:space="preserve">Please take the time to read and understand this entire message.  </w:t>
      </w:r>
    </w:p>
    <w:p w:rsidR="006821CC" w:rsidRDefault="006821CC" w:rsidP="006821CC">
      <w:pPr>
        <w:jc w:val="center"/>
        <w:rPr>
          <w:b/>
          <w:bCs/>
          <w:u w:val="single"/>
        </w:rPr>
      </w:pPr>
    </w:p>
    <w:p w:rsidR="006821CC" w:rsidRDefault="006821CC" w:rsidP="006821CC">
      <w:r>
        <w:t xml:space="preserve">Hello to all.  </w:t>
      </w:r>
      <w:r>
        <w:rPr>
          <w:u w:val="single"/>
        </w:rPr>
        <w:t>This morning</w:t>
      </w:r>
      <w:r>
        <w:t xml:space="preserve"> (Monday 3/30/2020) the Baca County Public Health Agency (BCP</w:t>
      </w:r>
      <w:r w:rsidR="00CA5E40">
        <w:t>HA) received a lab report on 2</w:t>
      </w:r>
      <w:r>
        <w:t xml:space="preserve"> resident</w:t>
      </w:r>
      <w:r>
        <w:t>s from Baca County that have</w:t>
      </w:r>
      <w:r>
        <w:t xml:space="preserve"> tested positi</w:t>
      </w:r>
      <w:r w:rsidR="00CA5E40">
        <w:t xml:space="preserve">ve to COVID-19.  We now have 3 </w:t>
      </w:r>
      <w:r>
        <w:t xml:space="preserve">positive cases in Baca </w:t>
      </w:r>
      <w:r>
        <w:t>C</w:t>
      </w:r>
      <w:r>
        <w:t>ounty</w:t>
      </w:r>
      <w:r>
        <w:t>.</w:t>
      </w:r>
    </w:p>
    <w:p w:rsidR="006821CC" w:rsidRDefault="006821CC" w:rsidP="006821CC"/>
    <w:p w:rsidR="006821CC" w:rsidRDefault="006821CC" w:rsidP="006821CC">
      <w:r>
        <w:t>Out of respect for patient privacy, we will only release the following information (No other information will be released at this time):</w:t>
      </w:r>
    </w:p>
    <w:p w:rsidR="006821CC" w:rsidRDefault="006821CC" w:rsidP="006821CC">
      <w:pPr>
        <w:numPr>
          <w:ilvl w:val="0"/>
          <w:numId w:val="1"/>
        </w:numPr>
      </w:pPr>
      <w:r>
        <w:t xml:space="preserve">The people </w:t>
      </w:r>
    </w:p>
    <w:p w:rsidR="006821CC" w:rsidRDefault="006821CC" w:rsidP="006821CC">
      <w:pPr>
        <w:numPr>
          <w:ilvl w:val="1"/>
          <w:numId w:val="1"/>
        </w:numPr>
      </w:pPr>
      <w:proofErr w:type="gramStart"/>
      <w:r>
        <w:t>were</w:t>
      </w:r>
      <w:proofErr w:type="gramEnd"/>
      <w:r>
        <w:t xml:space="preserve"> placed into quarantine while awaiting test results.</w:t>
      </w:r>
    </w:p>
    <w:p w:rsidR="006821CC" w:rsidRDefault="006821CC" w:rsidP="006821CC">
      <w:pPr>
        <w:numPr>
          <w:ilvl w:val="1"/>
          <w:numId w:val="1"/>
        </w:numPr>
      </w:pPr>
      <w:r>
        <w:t>were in close contact with a person who had a positive COVID-19 test result</w:t>
      </w:r>
    </w:p>
    <w:p w:rsidR="006821CC" w:rsidRDefault="006821CC" w:rsidP="006821CC">
      <w:pPr>
        <w:numPr>
          <w:ilvl w:val="1"/>
          <w:numId w:val="1"/>
        </w:numPr>
      </w:pPr>
      <w:proofErr w:type="gramStart"/>
      <w:r>
        <w:t>were</w:t>
      </w:r>
      <w:proofErr w:type="gramEnd"/>
      <w:r>
        <w:t xml:space="preserve"> placed into isolation after receiving the positive test results.</w:t>
      </w:r>
    </w:p>
    <w:p w:rsidR="006821CC" w:rsidRDefault="006821CC" w:rsidP="00471991">
      <w:pPr>
        <w:numPr>
          <w:ilvl w:val="1"/>
          <w:numId w:val="1"/>
        </w:numPr>
      </w:pPr>
      <w:proofErr w:type="gramStart"/>
      <w:r>
        <w:t>are</w:t>
      </w:r>
      <w:proofErr w:type="gramEnd"/>
      <w:r>
        <w:t xml:space="preserve"> a resident of Baca County</w:t>
      </w:r>
      <w:r>
        <w:t>.</w:t>
      </w:r>
    </w:p>
    <w:p w:rsidR="009675FE" w:rsidRDefault="009675FE" w:rsidP="00471991">
      <w:pPr>
        <w:numPr>
          <w:ilvl w:val="1"/>
          <w:numId w:val="1"/>
        </w:numPr>
      </w:pPr>
      <w:r>
        <w:t>are recovering</w:t>
      </w:r>
    </w:p>
    <w:p w:rsidR="006821CC" w:rsidRDefault="006821CC" w:rsidP="006821CC"/>
    <w:p w:rsidR="006821CC" w:rsidRDefault="006821CC" w:rsidP="006821CC">
      <w:r>
        <w:t xml:space="preserve">A thorough epidemiological investigation is currently underway, with absolute priority given to contact investigations, risk assessments, and isolation/quarantine information (disease control and containment measures) based upon the Centers for Disease Control and Prevention (CDC) guidelines.  </w:t>
      </w:r>
    </w:p>
    <w:p w:rsidR="009675FE" w:rsidRDefault="009675FE" w:rsidP="006821CC"/>
    <w:p w:rsidR="006821CC" w:rsidRDefault="006821CC" w:rsidP="006821CC">
      <w:r>
        <w:rPr>
          <w:b/>
          <w:bCs/>
          <w:u w:val="single"/>
        </w:rPr>
        <w:t>Here is what you can do right now</w:t>
      </w:r>
      <w:r>
        <w:t>:</w:t>
      </w:r>
    </w:p>
    <w:p w:rsidR="00325160" w:rsidRDefault="006821CC" w:rsidP="00B52BD2">
      <w:pPr>
        <w:pStyle w:val="ListParagraph"/>
        <w:numPr>
          <w:ilvl w:val="0"/>
          <w:numId w:val="1"/>
        </w:numPr>
      </w:pPr>
      <w:r>
        <w:rPr>
          <w:b/>
          <w:bCs/>
        </w:rPr>
        <w:t>COMPLY WITH ALL PUBLIC HEALTH ORDERS CURRENTLY IN PLACE, INCLUDING THE NEW “STAY AT HOME” ORDER.  THE STATE PUBLIC HEALTH ORDERS CAN BE FOUND HERE</w:t>
      </w:r>
      <w:r>
        <w:t xml:space="preserve">:  </w:t>
      </w:r>
      <w:hyperlink r:id="rId7" w:history="1">
        <w:r>
          <w:rPr>
            <w:rStyle w:val="Hyperlink"/>
            <w:color w:val="0000FF"/>
          </w:rPr>
          <w:t>https://covid19.colorado.gov/public-health-executive-orders-explained</w:t>
        </w:r>
      </w:hyperlink>
    </w:p>
    <w:p w:rsidR="00471991" w:rsidRDefault="00471991" w:rsidP="006821CC">
      <w:pPr>
        <w:pStyle w:val="ListParagraph"/>
        <w:numPr>
          <w:ilvl w:val="0"/>
          <w:numId w:val="2"/>
        </w:numPr>
      </w:pPr>
      <w:r>
        <w:t xml:space="preserve">What to do if you have COVID-19 or think that you do: </w:t>
      </w:r>
      <w:hyperlink r:id="rId8" w:history="1">
        <w:r w:rsidRPr="00471991">
          <w:rPr>
            <w:color w:val="0000FF"/>
            <w:u w:val="single"/>
          </w:rPr>
          <w:t>https://www.cdc.gov/coronavirus/2019-ncov/downloads/sick-with-2019-nCoV-fact-sheet.pdf</w:t>
        </w:r>
      </w:hyperlink>
    </w:p>
    <w:p w:rsidR="00CA5E40" w:rsidRDefault="00CA5E40" w:rsidP="006821CC">
      <w:pPr>
        <w:pStyle w:val="ListParagraph"/>
        <w:numPr>
          <w:ilvl w:val="0"/>
          <w:numId w:val="2"/>
        </w:numPr>
      </w:pPr>
      <w:r>
        <w:t xml:space="preserve">Steps to take when sick: </w:t>
      </w:r>
      <w:hyperlink r:id="rId9" w:tgtFrame="_blank" w:history="1">
        <w:r>
          <w:rPr>
            <w:rStyle w:val="Hyperlink"/>
          </w:rPr>
          <w:t>https://www.cdc.gov/coronavirus/2019-ncov/if-you-are-sick/steps-when-sick.html</w:t>
        </w:r>
      </w:hyperlink>
    </w:p>
    <w:p w:rsidR="00CA5E40" w:rsidRDefault="00CA5E40" w:rsidP="006821CC">
      <w:pPr>
        <w:pStyle w:val="ListParagraph"/>
        <w:numPr>
          <w:ilvl w:val="0"/>
          <w:numId w:val="2"/>
        </w:numPr>
      </w:pPr>
      <w:r>
        <w:t>Caring for yourself at home:</w:t>
      </w:r>
      <w:r w:rsidRPr="00CA5E40">
        <w:t xml:space="preserve"> </w:t>
      </w:r>
      <w:hyperlink r:id="rId10" w:tgtFrame="_blank" w:history="1">
        <w:r>
          <w:rPr>
            <w:rStyle w:val="Hyperlink"/>
          </w:rPr>
          <w:t>https://www.cdc.gov/coronavirus/2019-ncov/if-you-are-sick/caring-for-yourself-at-home.html</w:t>
        </w:r>
      </w:hyperlink>
      <w:r>
        <w:t xml:space="preserve"> </w:t>
      </w:r>
    </w:p>
    <w:p w:rsidR="006821CC" w:rsidRDefault="006821CC" w:rsidP="006821CC">
      <w:pPr>
        <w:pStyle w:val="ListParagraph"/>
        <w:numPr>
          <w:ilvl w:val="0"/>
          <w:numId w:val="2"/>
        </w:numPr>
      </w:pPr>
      <w:r>
        <w:t>If you are sick, please call your healthcare provider and they will provide you with instructions on what to do next.  If you do not have a he</w:t>
      </w:r>
      <w:r w:rsidR="00325160">
        <w:t>althcare provider, please call Southeast Colorado Hospital District at (719)523-6628</w:t>
      </w:r>
      <w:r>
        <w:t xml:space="preserve">.  ALWAYS call your healthcare provider FIRST before you go to the office, so they can give you instructions.  </w:t>
      </w:r>
    </w:p>
    <w:p w:rsidR="006821CC" w:rsidRDefault="006821CC" w:rsidP="006821CC">
      <w:pPr>
        <w:pStyle w:val="ListParagraph"/>
        <w:numPr>
          <w:ilvl w:val="0"/>
          <w:numId w:val="2"/>
        </w:numPr>
      </w:pPr>
      <w:r>
        <w:t xml:space="preserve">Only go to the Emergency Room (ER) if it is an emergency.  Only you can decide if it is truly an emergency or not, but emergencies typically are life threatening and time sensitive.  </w:t>
      </w:r>
    </w:p>
    <w:p w:rsidR="006821CC" w:rsidRDefault="006821CC" w:rsidP="006821CC">
      <w:pPr>
        <w:numPr>
          <w:ilvl w:val="0"/>
          <w:numId w:val="3"/>
        </w:numPr>
      </w:pPr>
      <w:r>
        <w:t>Stay home if you are sick and, if needed, call your medical provider.</w:t>
      </w:r>
    </w:p>
    <w:p w:rsidR="00325160" w:rsidRDefault="006821CC" w:rsidP="00471991">
      <w:pPr>
        <w:numPr>
          <w:ilvl w:val="0"/>
          <w:numId w:val="3"/>
        </w:numPr>
      </w:pPr>
      <w:r>
        <w:t xml:space="preserve">If you are in a high risk group, take </w:t>
      </w:r>
      <w:r>
        <w:rPr>
          <w:u w:val="single"/>
        </w:rPr>
        <w:t>extra</w:t>
      </w:r>
      <w:r>
        <w:t xml:space="preserve"> precautions.</w:t>
      </w:r>
    </w:p>
    <w:p w:rsidR="006821CC" w:rsidRDefault="006821CC" w:rsidP="006821CC">
      <w:pPr>
        <w:numPr>
          <w:ilvl w:val="0"/>
          <w:numId w:val="3"/>
        </w:numPr>
      </w:pPr>
      <w:r>
        <w:t>Cover your cough and/or sneeze.</w:t>
      </w:r>
    </w:p>
    <w:p w:rsidR="006821CC" w:rsidRDefault="006821CC" w:rsidP="006821CC">
      <w:pPr>
        <w:numPr>
          <w:ilvl w:val="0"/>
          <w:numId w:val="3"/>
        </w:numPr>
      </w:pPr>
      <w:r>
        <w:t>Keep your fingers and hands away from your face.</w:t>
      </w:r>
    </w:p>
    <w:p w:rsidR="006821CC" w:rsidRDefault="006821CC" w:rsidP="006821CC">
      <w:pPr>
        <w:numPr>
          <w:ilvl w:val="0"/>
          <w:numId w:val="3"/>
        </w:numPr>
      </w:pPr>
      <w:r>
        <w:t>Wash your hands a lot.</w:t>
      </w:r>
    </w:p>
    <w:p w:rsidR="006821CC" w:rsidRDefault="006821CC" w:rsidP="006821CC">
      <w:pPr>
        <w:numPr>
          <w:ilvl w:val="0"/>
          <w:numId w:val="3"/>
        </w:numPr>
      </w:pPr>
      <w:r>
        <w:lastRenderedPageBreak/>
        <w:t>Stay informed by trusted and reliable sources.  Be careful about believing what you read on social media sites.  Trusted sources/websites:</w:t>
      </w:r>
    </w:p>
    <w:p w:rsidR="00325160" w:rsidRDefault="00325160" w:rsidP="002277FB">
      <w:pPr>
        <w:numPr>
          <w:ilvl w:val="1"/>
          <w:numId w:val="3"/>
        </w:numPr>
      </w:pPr>
      <w:r>
        <w:t xml:space="preserve">Baca County:  </w:t>
      </w:r>
      <w:hyperlink r:id="rId11" w:history="1">
        <w:r w:rsidRPr="00325160">
          <w:rPr>
            <w:color w:val="0000FF"/>
            <w:u w:val="single"/>
          </w:rPr>
          <w:t>https://www.bacacountyco.gov/</w:t>
        </w:r>
      </w:hyperlink>
    </w:p>
    <w:p w:rsidR="006821CC" w:rsidRDefault="006821CC" w:rsidP="002277FB">
      <w:pPr>
        <w:numPr>
          <w:ilvl w:val="1"/>
          <w:numId w:val="3"/>
        </w:numPr>
      </w:pPr>
      <w:r>
        <w:t xml:space="preserve">Centers for Disease Control:  </w:t>
      </w:r>
      <w:hyperlink r:id="rId12" w:history="1">
        <w:r>
          <w:rPr>
            <w:rStyle w:val="Hyperlink"/>
          </w:rPr>
          <w:t>https://www.cdc.gov</w:t>
        </w:r>
      </w:hyperlink>
    </w:p>
    <w:p w:rsidR="006821CC" w:rsidRDefault="006821CC" w:rsidP="006821CC">
      <w:pPr>
        <w:numPr>
          <w:ilvl w:val="1"/>
          <w:numId w:val="3"/>
        </w:numPr>
      </w:pPr>
      <w:r>
        <w:t xml:space="preserve">CO State Health Department:  </w:t>
      </w:r>
      <w:hyperlink r:id="rId13" w:history="1">
        <w:r>
          <w:rPr>
            <w:rStyle w:val="Hyperlink"/>
          </w:rPr>
          <w:t>https://www.colorado.gov/cdphe</w:t>
        </w:r>
      </w:hyperlink>
    </w:p>
    <w:p w:rsidR="006821CC" w:rsidRDefault="006821CC" w:rsidP="006821CC">
      <w:pPr>
        <w:numPr>
          <w:ilvl w:val="0"/>
          <w:numId w:val="3"/>
        </w:numPr>
      </w:pPr>
      <w:r>
        <w:t>Do these things so you will be prepared, and not scared.</w:t>
      </w:r>
    </w:p>
    <w:p w:rsidR="006821CC" w:rsidRDefault="006821CC">
      <w:bookmarkStart w:id="0" w:name="_GoBack"/>
      <w:bookmarkEnd w:id="0"/>
    </w:p>
    <w:sectPr w:rsidR="006821C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CC" w:rsidRDefault="006821CC" w:rsidP="006821CC">
      <w:r>
        <w:separator/>
      </w:r>
    </w:p>
  </w:endnote>
  <w:endnote w:type="continuationSeparator" w:id="0">
    <w:p w:rsidR="006821CC" w:rsidRDefault="006821CC" w:rsidP="0068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CC" w:rsidRDefault="006821CC" w:rsidP="006821CC">
      <w:r>
        <w:separator/>
      </w:r>
    </w:p>
  </w:footnote>
  <w:footnote w:type="continuationSeparator" w:id="0">
    <w:p w:rsidR="006821CC" w:rsidRDefault="006821CC" w:rsidP="0068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CC" w:rsidRDefault="00471991" w:rsidP="006821CC">
    <w:pPr>
      <w:pStyle w:val="Header"/>
      <w:ind w:firstLine="2160"/>
    </w:pPr>
    <w:r>
      <w:rPr>
        <w:rFonts w:ascii="Times New Roman" w:hAnsi="Times New Roman" w:cs="Times New Roman"/>
        <w:noProof/>
        <w:sz w:val="24"/>
        <w:szCs w:val="24"/>
      </w:rPr>
      <w:drawing>
        <wp:anchor distT="36576" distB="36576" distL="36576" distR="36576" simplePos="0" relativeHeight="251661312" behindDoc="1" locked="0" layoutInCell="1" allowOverlap="1" wp14:anchorId="2732D5E8" wp14:editId="2F9B0E5B">
          <wp:simplePos x="0" y="0"/>
          <wp:positionH relativeFrom="column">
            <wp:posOffset>-428625</wp:posOffset>
          </wp:positionH>
          <wp:positionV relativeFrom="topMargin">
            <wp:align>bottom</wp:align>
          </wp:positionV>
          <wp:extent cx="1143000" cy="869324"/>
          <wp:effectExtent l="0" t="0" r="0" b="6985"/>
          <wp:wrapNone/>
          <wp:docPr id="5" name="Picture 5" descr="B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693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21CC" w:rsidRPr="006821CC">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5CD5FF39" wp14:editId="484F6551">
              <wp:simplePos x="0" y="0"/>
              <wp:positionH relativeFrom="margin">
                <wp:align>left</wp:align>
              </wp:positionH>
              <wp:positionV relativeFrom="paragraph">
                <wp:posOffset>-331470</wp:posOffset>
              </wp:positionV>
              <wp:extent cx="6419850" cy="7048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04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21CC" w:rsidRDefault="006821CC" w:rsidP="006821CC">
                          <w:pPr>
                            <w:widowControl w:val="0"/>
                            <w:jc w:val="center"/>
                            <w:rPr>
                              <w:rFonts w:ascii="Verdana" w:hAnsi="Verdana"/>
                              <w:b/>
                              <w:bCs/>
                              <w:sz w:val="32"/>
                              <w:szCs w:val="32"/>
                            </w:rPr>
                          </w:pPr>
                          <w:r>
                            <w:rPr>
                              <w:rFonts w:ascii="Bradley Hand ITC" w:hAnsi="Bradley Hand ITC"/>
                              <w:b/>
                              <w:bCs/>
                              <w:sz w:val="32"/>
                              <w:szCs w:val="32"/>
                            </w:rPr>
                            <w:t xml:space="preserve"> </w:t>
                          </w:r>
                          <w:r>
                            <w:rPr>
                              <w:rFonts w:ascii="Verdana" w:hAnsi="Verdana"/>
                              <w:b/>
                              <w:bCs/>
                              <w:sz w:val="32"/>
                              <w:szCs w:val="32"/>
                            </w:rPr>
                            <w:t>Ba</w:t>
                          </w:r>
                          <w:r>
                            <w:rPr>
                              <w:rFonts w:ascii="Verdana" w:hAnsi="Verdana"/>
                              <w:b/>
                              <w:bCs/>
                              <w:sz w:val="28"/>
                              <w:szCs w:val="28"/>
                            </w:rPr>
                            <w:t>ca County Public Health Agency</w:t>
                          </w:r>
                        </w:p>
                        <w:p w:rsidR="006821CC" w:rsidRDefault="006821CC" w:rsidP="006821CC">
                          <w:pPr>
                            <w:widowControl w:val="0"/>
                            <w:jc w:val="center"/>
                            <w:rPr>
                              <w:rFonts w:ascii="Verdana" w:hAnsi="Verdana"/>
                              <w:b/>
                              <w:bCs/>
                              <w:sz w:val="24"/>
                              <w:szCs w:val="24"/>
                            </w:rPr>
                          </w:pPr>
                          <w:r>
                            <w:rPr>
                              <w:rFonts w:ascii="Verdana" w:hAnsi="Verdana"/>
                              <w:b/>
                              <w:bCs/>
                              <w:sz w:val="24"/>
                              <w:szCs w:val="24"/>
                            </w:rPr>
                            <w:t>7</w:t>
                          </w:r>
                          <w:r>
                            <w:rPr>
                              <w:rFonts w:ascii="Verdana" w:hAnsi="Verdana"/>
                              <w:b/>
                              <w:bCs/>
                            </w:rPr>
                            <w:t>41 Main St, STE 4, Springfield CO 81073</w:t>
                          </w:r>
                        </w:p>
                        <w:p w:rsidR="006821CC" w:rsidRDefault="006821CC" w:rsidP="006821CC">
                          <w:pPr>
                            <w:widowControl w:val="0"/>
                            <w:jc w:val="center"/>
                            <w:rPr>
                              <w:rFonts w:ascii="Verdana" w:hAnsi="Verdana"/>
                              <w:b/>
                              <w:bCs/>
                              <w:sz w:val="20"/>
                              <w:szCs w:val="20"/>
                            </w:rPr>
                          </w:pPr>
                          <w:r>
                            <w:rPr>
                              <w:rFonts w:ascii="Verdana" w:hAnsi="Verdana"/>
                              <w:b/>
                              <w:bCs/>
                            </w:rPr>
                            <w:t>719.523.6621</w:t>
                          </w:r>
                        </w:p>
                        <w:p w:rsidR="006821CC" w:rsidRDefault="006821CC" w:rsidP="006821CC">
                          <w:pPr>
                            <w:widowControl w:val="0"/>
                            <w:rPr>
                              <w:rFonts w:ascii="Verdana" w:hAnsi="Verdana"/>
                              <w:b/>
                              <w:bCs/>
                            </w:rPr>
                          </w:pPr>
                          <w:r>
                            <w:rPr>
                              <w:rFonts w:ascii="Verdana" w:hAnsi="Verdana"/>
                              <w:b/>
                              <w:bCs/>
                            </w:rPr>
                            <w:t> </w:t>
                          </w:r>
                        </w:p>
                        <w:p w:rsidR="006821CC" w:rsidRDefault="006821CC" w:rsidP="006821CC">
                          <w:pPr>
                            <w:widowControl w:val="0"/>
                            <w:rPr>
                              <w:rFonts w:ascii="Verdana" w:hAnsi="Verdana"/>
                              <w:b/>
                              <w:bCs/>
                            </w:rPr>
                          </w:pP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t>______________________________________________________________________</w:t>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t> </w:t>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t>______________________________________________________________________________________________________</w:t>
                          </w:r>
                        </w:p>
                        <w:p w:rsidR="006821CC" w:rsidRDefault="006821CC" w:rsidP="006821CC">
                          <w:pPr>
                            <w:widowControl w:val="0"/>
                            <w:jc w:val="center"/>
                            <w:rPr>
                              <w:rFonts w:ascii="Bradley Hand ITC" w:hAnsi="Bradley Hand ITC"/>
                              <w:b/>
                              <w:bCs/>
                              <w:sz w:val="24"/>
                              <w:szCs w:val="24"/>
                            </w:rPr>
                          </w:pPr>
                          <w:r>
                            <w:rPr>
                              <w:rFonts w:ascii="Bradley Hand ITC" w:hAnsi="Bradley Hand ITC"/>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FF39" id="_x0000_t202" coordsize="21600,21600" o:spt="202" path="m,l,21600r21600,l21600,xe">
              <v:stroke joinstyle="miter"/>
              <v:path gradientshapeok="t" o:connecttype="rect"/>
            </v:shapetype>
            <v:shape id="Text Box 4" o:spid="_x0000_s1026" type="#_x0000_t202" style="position:absolute;left:0;text-align:left;margin-left:0;margin-top:-26.1pt;width:505.5pt;height:55.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" filled="f" fillcolor="#5b9bd5" stroked="f" strokecolor="black [0]" strokeweight="2pt">
              <v:textbox inset="2.88pt,2.88pt,2.88pt,2.88pt">
                <w:txbxContent>
                  <w:p w:rsidR="006821CC" w:rsidRDefault="006821CC" w:rsidP="006821CC">
                    <w:pPr>
                      <w:widowControl w:val="0"/>
                      <w:jc w:val="center"/>
                      <w:rPr>
                        <w:rFonts w:ascii="Verdana" w:hAnsi="Verdana"/>
                        <w:b/>
                        <w:bCs/>
                        <w:sz w:val="32"/>
                        <w:szCs w:val="32"/>
                      </w:rPr>
                    </w:pPr>
                    <w:r>
                      <w:rPr>
                        <w:rFonts w:ascii="Bradley Hand ITC" w:hAnsi="Bradley Hand ITC"/>
                        <w:b/>
                        <w:bCs/>
                        <w:sz w:val="32"/>
                        <w:szCs w:val="32"/>
                      </w:rPr>
                      <w:t xml:space="preserve"> </w:t>
                    </w:r>
                    <w:r>
                      <w:rPr>
                        <w:rFonts w:ascii="Verdana" w:hAnsi="Verdana"/>
                        <w:b/>
                        <w:bCs/>
                        <w:sz w:val="32"/>
                        <w:szCs w:val="32"/>
                      </w:rPr>
                      <w:t>Ba</w:t>
                    </w:r>
                    <w:r>
                      <w:rPr>
                        <w:rFonts w:ascii="Verdana" w:hAnsi="Verdana"/>
                        <w:b/>
                        <w:bCs/>
                        <w:sz w:val="28"/>
                        <w:szCs w:val="28"/>
                      </w:rPr>
                      <w:t>ca County Public Health Agency</w:t>
                    </w:r>
                  </w:p>
                  <w:p w:rsidR="006821CC" w:rsidRDefault="006821CC" w:rsidP="006821CC">
                    <w:pPr>
                      <w:widowControl w:val="0"/>
                      <w:jc w:val="center"/>
                      <w:rPr>
                        <w:rFonts w:ascii="Verdana" w:hAnsi="Verdana"/>
                        <w:b/>
                        <w:bCs/>
                        <w:sz w:val="24"/>
                        <w:szCs w:val="24"/>
                      </w:rPr>
                    </w:pPr>
                    <w:r>
                      <w:rPr>
                        <w:rFonts w:ascii="Verdana" w:hAnsi="Verdana"/>
                        <w:b/>
                        <w:bCs/>
                        <w:sz w:val="24"/>
                        <w:szCs w:val="24"/>
                      </w:rPr>
                      <w:t>7</w:t>
                    </w:r>
                    <w:r>
                      <w:rPr>
                        <w:rFonts w:ascii="Verdana" w:hAnsi="Verdana"/>
                        <w:b/>
                        <w:bCs/>
                      </w:rPr>
                      <w:t>41 Main St, STE 4, Springfield CO 81073</w:t>
                    </w:r>
                  </w:p>
                  <w:p w:rsidR="006821CC" w:rsidRDefault="006821CC" w:rsidP="006821CC">
                    <w:pPr>
                      <w:widowControl w:val="0"/>
                      <w:jc w:val="center"/>
                      <w:rPr>
                        <w:rFonts w:ascii="Verdana" w:hAnsi="Verdana"/>
                        <w:b/>
                        <w:bCs/>
                        <w:sz w:val="20"/>
                        <w:szCs w:val="20"/>
                      </w:rPr>
                    </w:pPr>
                    <w:r>
                      <w:rPr>
                        <w:rFonts w:ascii="Verdana" w:hAnsi="Verdana"/>
                        <w:b/>
                        <w:bCs/>
                      </w:rPr>
                      <w:t>719.523.6621</w:t>
                    </w:r>
                  </w:p>
                  <w:p w:rsidR="006821CC" w:rsidRDefault="006821CC" w:rsidP="006821CC">
                    <w:pPr>
                      <w:widowControl w:val="0"/>
                      <w:rPr>
                        <w:rFonts w:ascii="Verdana" w:hAnsi="Verdana"/>
                        <w:b/>
                        <w:bCs/>
                      </w:rPr>
                    </w:pPr>
                    <w:r>
                      <w:rPr>
                        <w:rFonts w:ascii="Verdana" w:hAnsi="Verdana"/>
                        <w:b/>
                        <w:bCs/>
                      </w:rPr>
                      <w:t> </w:t>
                    </w:r>
                  </w:p>
                  <w:p w:rsidR="006821CC" w:rsidRDefault="006821CC" w:rsidP="006821CC">
                    <w:pPr>
                      <w:widowControl w:val="0"/>
                      <w:rPr>
                        <w:rFonts w:ascii="Verdana" w:hAnsi="Verdana"/>
                        <w:b/>
                        <w:bCs/>
                      </w:rPr>
                    </w:pP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t>______________________________________________________________________</w:t>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r>
                      <w:rPr>
                        <w:rFonts w:ascii="Bradley Hand ITC" w:hAnsi="Bradley Hand ITC"/>
                        <w:b/>
                        <w:bCs/>
                        <w:sz w:val="24"/>
                        <w:szCs w:val="24"/>
                      </w:rPr>
                      <w:softHyphen/>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t> </w:t>
                    </w:r>
                  </w:p>
                  <w:p w:rsidR="006821CC" w:rsidRDefault="006821CC" w:rsidP="006821CC">
                    <w:pPr>
                      <w:widowControl w:val="0"/>
                      <w:rPr>
                        <w:rFonts w:ascii="Bradley Hand ITC" w:hAnsi="Bradley Hand ITC"/>
                        <w:b/>
                        <w:bCs/>
                        <w:sz w:val="24"/>
                        <w:szCs w:val="24"/>
                      </w:rPr>
                    </w:pPr>
                    <w:r>
                      <w:rPr>
                        <w:rFonts w:ascii="Bradley Hand ITC" w:hAnsi="Bradley Hand ITC"/>
                        <w:b/>
                        <w:bCs/>
                        <w:sz w:val="24"/>
                        <w:szCs w:val="24"/>
                      </w:rPr>
                      <w:t>______________________________________________________________________________________________________</w:t>
                    </w:r>
                  </w:p>
                  <w:p w:rsidR="006821CC" w:rsidRDefault="006821CC" w:rsidP="006821CC">
                    <w:pPr>
                      <w:widowControl w:val="0"/>
                      <w:jc w:val="center"/>
                      <w:rPr>
                        <w:rFonts w:ascii="Bradley Hand ITC" w:hAnsi="Bradley Hand ITC"/>
                        <w:b/>
                        <w:bCs/>
                        <w:sz w:val="24"/>
                        <w:szCs w:val="24"/>
                      </w:rPr>
                    </w:pPr>
                    <w:r>
                      <w:rPr>
                        <w:rFonts w:ascii="Bradley Hand ITC" w:hAnsi="Bradley Hand ITC"/>
                        <w:b/>
                        <w:bCs/>
                        <w:sz w:val="24"/>
                        <w:szCs w:val="24"/>
                      </w:rPr>
                      <w:t> </w:t>
                    </w:r>
                  </w:p>
                </w:txbxContent>
              </v:textbox>
              <w10:wrap anchorx="margin"/>
            </v:shape>
          </w:pict>
        </mc:Fallback>
      </mc:AlternateContent>
    </w:r>
  </w:p>
  <w:p w:rsidR="006821CC" w:rsidRDefault="00682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3630"/>
    <w:multiLevelType w:val="hybridMultilevel"/>
    <w:tmpl w:val="314229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5C453A"/>
    <w:multiLevelType w:val="hybridMultilevel"/>
    <w:tmpl w:val="14FE94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D484F"/>
    <w:multiLevelType w:val="hybridMultilevel"/>
    <w:tmpl w:val="050CFE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CC"/>
    <w:rsid w:val="00325160"/>
    <w:rsid w:val="00471991"/>
    <w:rsid w:val="006821CC"/>
    <w:rsid w:val="0086088C"/>
    <w:rsid w:val="009675FE"/>
    <w:rsid w:val="009C51D8"/>
    <w:rsid w:val="00B52BD2"/>
    <w:rsid w:val="00CA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7DCC52-30E8-4AF0-A421-179856B3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CC"/>
    <w:pPr>
      <w:tabs>
        <w:tab w:val="center" w:pos="4680"/>
        <w:tab w:val="right" w:pos="9360"/>
      </w:tabs>
    </w:pPr>
  </w:style>
  <w:style w:type="character" w:customStyle="1" w:styleId="HeaderChar">
    <w:name w:val="Header Char"/>
    <w:basedOn w:val="DefaultParagraphFont"/>
    <w:link w:val="Header"/>
    <w:uiPriority w:val="99"/>
    <w:rsid w:val="006821CC"/>
  </w:style>
  <w:style w:type="paragraph" w:styleId="Footer">
    <w:name w:val="footer"/>
    <w:basedOn w:val="Normal"/>
    <w:link w:val="FooterChar"/>
    <w:uiPriority w:val="99"/>
    <w:unhideWhenUsed/>
    <w:rsid w:val="006821CC"/>
    <w:pPr>
      <w:tabs>
        <w:tab w:val="center" w:pos="4680"/>
        <w:tab w:val="right" w:pos="9360"/>
      </w:tabs>
    </w:pPr>
  </w:style>
  <w:style w:type="character" w:customStyle="1" w:styleId="FooterChar">
    <w:name w:val="Footer Char"/>
    <w:basedOn w:val="DefaultParagraphFont"/>
    <w:link w:val="Footer"/>
    <w:uiPriority w:val="99"/>
    <w:rsid w:val="006821CC"/>
  </w:style>
  <w:style w:type="character" w:styleId="Hyperlink">
    <w:name w:val="Hyperlink"/>
    <w:basedOn w:val="DefaultParagraphFont"/>
    <w:uiPriority w:val="99"/>
    <w:semiHidden/>
    <w:unhideWhenUsed/>
    <w:rsid w:val="006821CC"/>
    <w:rPr>
      <w:color w:val="0563C1"/>
      <w:u w:val="single"/>
    </w:rPr>
  </w:style>
  <w:style w:type="paragraph" w:styleId="ListParagraph">
    <w:name w:val="List Paragraph"/>
    <w:basedOn w:val="Normal"/>
    <w:uiPriority w:val="34"/>
    <w:qFormat/>
    <w:rsid w:val="006821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sick-with-2019-nCoV-fact-sheet.pdf" TargetMode="External"/><Relationship Id="rId13" Type="http://schemas.openxmlformats.org/officeDocument/2006/relationships/hyperlink" Target="https://www.colorado.gov/cdphe" TargetMode="External"/><Relationship Id="rId3" Type="http://schemas.openxmlformats.org/officeDocument/2006/relationships/settings" Target="settings.xml"/><Relationship Id="rId7" Type="http://schemas.openxmlformats.org/officeDocument/2006/relationships/hyperlink" Target="https://covid19.colorado.gov/public-health-executive-orders-explained" TargetMode="External"/><Relationship Id="rId12" Type="http://schemas.openxmlformats.org/officeDocument/2006/relationships/hyperlink" Target="https://www.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acountyco.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if-you-are-sick/caring-for-yourself-at-home.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 Graham</dc:creator>
  <cp:keywords/>
  <dc:description/>
  <cp:lastModifiedBy>Jessami Graham</cp:lastModifiedBy>
  <cp:revision>3</cp:revision>
  <dcterms:created xsi:type="dcterms:W3CDTF">2020-03-30T16:23:00Z</dcterms:created>
  <dcterms:modified xsi:type="dcterms:W3CDTF">2020-03-30T17:56:00Z</dcterms:modified>
</cp:coreProperties>
</file>